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79A4" w14:textId="77777777" w:rsidR="00866595" w:rsidRPr="006537C4" w:rsidRDefault="00866595" w:rsidP="00866595">
      <w:pPr>
        <w:pStyle w:val="ecmsonormal"/>
        <w:shd w:val="clear" w:color="auto" w:fill="FFFFFF"/>
        <w:spacing w:after="0"/>
        <w:jc w:val="center"/>
        <w:rPr>
          <w:rFonts w:ascii="Times New Roman" w:hAnsi="Times New Roman" w:cs="Times New Roman"/>
          <w:smallCaps/>
          <w:spacing w:val="-3"/>
          <w:u w:val="single"/>
          <w:lang w:val="es-AR"/>
        </w:rPr>
      </w:pPr>
    </w:p>
    <w:p w14:paraId="2A0450E3" w14:textId="0692CE2E" w:rsidR="00866595" w:rsidRPr="00BE0B2E" w:rsidRDefault="00866595" w:rsidP="00866595">
      <w:pPr>
        <w:pStyle w:val="ecmsonormal"/>
        <w:shd w:val="clear" w:color="auto" w:fill="FFFFFF"/>
        <w:tabs>
          <w:tab w:val="left" w:pos="1633"/>
          <w:tab w:val="center" w:pos="6926"/>
        </w:tabs>
        <w:spacing w:after="0"/>
        <w:jc w:val="center"/>
        <w:rPr>
          <w:rFonts w:ascii="Times New Roman" w:hAnsi="Times New Roman" w:cs="Times New Roman"/>
          <w:smallCaps/>
          <w:spacing w:val="-3"/>
          <w:u w:val="single"/>
          <w:lang w:val="es-AR"/>
        </w:rPr>
      </w:pPr>
      <w:r w:rsidRPr="00BE0B2E">
        <w:rPr>
          <w:rFonts w:ascii="Times New Roman" w:hAnsi="Times New Roman" w:cs="Times New Roman"/>
          <w:smallCaps/>
          <w:spacing w:val="-3"/>
          <w:u w:val="single"/>
          <w:lang w:val="es-AR"/>
        </w:rPr>
        <w:t xml:space="preserve">Reunión del mes de </w:t>
      </w:r>
      <w:r w:rsidR="00674904">
        <w:rPr>
          <w:rFonts w:ascii="Times New Roman" w:hAnsi="Times New Roman" w:cs="Times New Roman"/>
          <w:smallCaps/>
          <w:spacing w:val="-3"/>
          <w:u w:val="single"/>
          <w:lang w:val="es-AR"/>
        </w:rPr>
        <w:t>junio</w:t>
      </w:r>
      <w:r w:rsidRPr="00BE0B2E">
        <w:rPr>
          <w:rFonts w:ascii="Times New Roman" w:hAnsi="Times New Roman" w:cs="Times New Roman"/>
          <w:smallCaps/>
          <w:spacing w:val="-3"/>
          <w:u w:val="single"/>
          <w:lang w:val="es-AR"/>
        </w:rPr>
        <w:t xml:space="preserve"> de 2026</w:t>
      </w:r>
    </w:p>
    <w:p w14:paraId="029FD2CF" w14:textId="77777777" w:rsidR="00866595" w:rsidRPr="00BE0B2E" w:rsidRDefault="00866595" w:rsidP="00866595">
      <w:pPr>
        <w:pStyle w:val="ecmsonormal"/>
        <w:shd w:val="clear" w:color="auto" w:fill="FFFFFF"/>
        <w:tabs>
          <w:tab w:val="left" w:pos="1633"/>
          <w:tab w:val="center" w:pos="6926"/>
        </w:tabs>
        <w:spacing w:after="0"/>
        <w:jc w:val="center"/>
        <w:rPr>
          <w:rFonts w:ascii="Times New Roman" w:hAnsi="Times New Roman" w:cs="Times New Roman"/>
          <w:smallCaps/>
          <w:spacing w:val="-3"/>
          <w:u w:val="single"/>
          <w:lang w:val="es-AR"/>
        </w:rPr>
      </w:pPr>
    </w:p>
    <w:p w14:paraId="41B66B30" w14:textId="418A5FD1" w:rsidR="003E0565" w:rsidRPr="00BE0B2E" w:rsidRDefault="003E0565" w:rsidP="003E0565">
      <w:pPr>
        <w:pStyle w:val="ListParagraph"/>
        <w:ind w:left="0"/>
        <w:rPr>
          <w:rFonts w:ascii="Cambria" w:eastAsia="Arial" w:hAnsi="Cambria"/>
          <w:smallCaps/>
          <w:spacing w:val="-3"/>
          <w:u w:val="single"/>
        </w:rPr>
      </w:pPr>
      <w:r>
        <w:rPr>
          <w:rFonts w:ascii="Cambria" w:eastAsia="Arial" w:hAnsi="Cambria"/>
          <w:smallCaps/>
          <w:spacing w:val="-3"/>
          <w:u w:val="single"/>
        </w:rPr>
        <w:t>Invitado</w:t>
      </w:r>
      <w:r w:rsidRPr="00BE0B2E">
        <w:rPr>
          <w:rFonts w:ascii="Cambria" w:eastAsia="Arial" w:hAnsi="Cambria"/>
          <w:smallCaps/>
          <w:spacing w:val="-3"/>
          <w:u w:val="single"/>
        </w:rPr>
        <w:t xml:space="preserve">. </w:t>
      </w:r>
    </w:p>
    <w:p w14:paraId="760A0FEF" w14:textId="77777777" w:rsidR="003E0565" w:rsidRDefault="003E0565" w:rsidP="00866595">
      <w:pPr>
        <w:shd w:val="clear" w:color="auto" w:fill="FFFFFF"/>
        <w:jc w:val="both"/>
        <w:rPr>
          <w:rFonts w:eastAsia="Tahoma"/>
          <w:smallCaps/>
          <w:spacing w:val="-3"/>
          <w:u w:val="single"/>
          <w:lang w:val="es-AR"/>
        </w:rPr>
      </w:pPr>
    </w:p>
    <w:p w14:paraId="023172F4" w14:textId="7CDCB732" w:rsidR="003E0565" w:rsidRDefault="003E0565" w:rsidP="00866595">
      <w:pPr>
        <w:shd w:val="clear" w:color="auto" w:fill="FFFFFF"/>
        <w:jc w:val="both"/>
        <w:rPr>
          <w:rFonts w:eastAsia="Tahoma"/>
          <w:smallCaps/>
          <w:spacing w:val="-3"/>
          <w:u w:val="single"/>
          <w:lang w:val="es-AR"/>
        </w:rPr>
      </w:pPr>
      <w:r>
        <w:rPr>
          <w:lang w:val="es-AR"/>
        </w:rPr>
        <w:t>Juan Ignacio Nigrelli</w:t>
      </w:r>
      <w:r w:rsidR="002E7650">
        <w:rPr>
          <w:lang w:val="es-AR"/>
        </w:rPr>
        <w:t>, Director</w:t>
      </w:r>
      <w:r w:rsidR="00A77456">
        <w:rPr>
          <w:lang w:val="es-AR"/>
        </w:rPr>
        <w:t xml:space="preserve"> </w:t>
      </w:r>
      <w:r w:rsidR="002E7650">
        <w:rPr>
          <w:lang w:val="es-AR"/>
        </w:rPr>
        <w:t>General de Análisis Fiscal de la AGIP,</w:t>
      </w:r>
      <w:r>
        <w:rPr>
          <w:lang w:val="es-AR"/>
        </w:rPr>
        <w:t xml:space="preserve"> comentará novedades en relación a </w:t>
      </w:r>
      <w:r w:rsidR="002E7650">
        <w:rPr>
          <w:lang w:val="es-AR"/>
        </w:rPr>
        <w:t>los</w:t>
      </w:r>
      <w:r>
        <w:rPr>
          <w:lang w:val="es-AR"/>
        </w:rPr>
        <w:t xml:space="preserve"> mandatarios.</w:t>
      </w:r>
    </w:p>
    <w:p w14:paraId="06C5B27F" w14:textId="77777777" w:rsidR="003E0565" w:rsidRPr="00BE0B2E" w:rsidRDefault="003E0565" w:rsidP="00866595">
      <w:pPr>
        <w:shd w:val="clear" w:color="auto" w:fill="FFFFFF"/>
        <w:jc w:val="both"/>
        <w:rPr>
          <w:rFonts w:eastAsia="Tahoma"/>
          <w:smallCaps/>
          <w:spacing w:val="-3"/>
          <w:u w:val="single"/>
          <w:lang w:val="es-AR"/>
        </w:rPr>
      </w:pPr>
    </w:p>
    <w:p w14:paraId="06CD5362" w14:textId="77777777" w:rsidR="00866595" w:rsidRPr="00BE0B2E" w:rsidRDefault="00866595" w:rsidP="00866595">
      <w:pPr>
        <w:shd w:val="clear" w:color="auto" w:fill="FFFFFF"/>
        <w:jc w:val="both"/>
        <w:rPr>
          <w:rFonts w:eastAsia="Tahoma"/>
          <w:b/>
          <w:bCs/>
          <w:smallCaps/>
          <w:spacing w:val="-3"/>
          <w:lang w:val="es-AR"/>
        </w:rPr>
      </w:pPr>
    </w:p>
    <w:p w14:paraId="0E047999" w14:textId="77777777" w:rsidR="00866595" w:rsidRDefault="00866595" w:rsidP="00866595">
      <w:pPr>
        <w:shd w:val="clear" w:color="auto" w:fill="FFFFFF"/>
        <w:jc w:val="both"/>
        <w:rPr>
          <w:rFonts w:eastAsia="Tahoma"/>
          <w:smallCaps/>
          <w:spacing w:val="-3"/>
          <w:u w:val="single"/>
          <w:lang w:val="es-AR"/>
        </w:rPr>
      </w:pPr>
      <w:r w:rsidRPr="00BE0B2E">
        <w:rPr>
          <w:rFonts w:eastAsia="Tahoma"/>
          <w:smallCaps/>
          <w:spacing w:val="-3"/>
          <w:u w:val="single"/>
          <w:lang w:val="es-AR"/>
        </w:rPr>
        <w:t>Jurisprudencia.</w:t>
      </w:r>
    </w:p>
    <w:p w14:paraId="44E7054A" w14:textId="77777777" w:rsidR="00C323E1" w:rsidRDefault="00C323E1" w:rsidP="00866595">
      <w:pPr>
        <w:shd w:val="clear" w:color="auto" w:fill="FFFFFF"/>
        <w:jc w:val="both"/>
        <w:rPr>
          <w:rFonts w:eastAsia="Tahoma"/>
          <w:smallCaps/>
          <w:spacing w:val="-3"/>
          <w:u w:val="single"/>
          <w:lang w:val="es-AR"/>
        </w:rPr>
      </w:pPr>
    </w:p>
    <w:p w14:paraId="6CC3B0C4" w14:textId="28771603" w:rsidR="003B5BF4" w:rsidRPr="00930B5A" w:rsidRDefault="00B46DF8" w:rsidP="003B5BF4">
      <w:pPr>
        <w:pStyle w:val="ListParagraph"/>
        <w:numPr>
          <w:ilvl w:val="0"/>
          <w:numId w:val="7"/>
        </w:numPr>
        <w:jc w:val="both"/>
      </w:pPr>
      <w:r>
        <w:rPr>
          <w:lang w:val="es-AR"/>
        </w:rPr>
        <w:t xml:space="preserve">Tasa de Salud. Demanda de inconstitucionalidad. Legitimación activa (concejales y contribuyentes). Requisitos de sanción de la Ordenanza: Asamblea de Mayores contribuyentes y mayorías. Medida cautelar: alcance de la medida. </w:t>
      </w:r>
      <w:r w:rsidR="003B5BF4">
        <w:rPr>
          <w:b/>
          <w:bCs/>
        </w:rPr>
        <w:t>“Orsini, Carlos Ignacio y otros c/ Municipalidad de Chacabuco s/ inconstitucionalidad Ordenanzas N° 10.866, 10.867 y 10.868 de 2025”, Suprema Corte de Justicia la Prov. de Buenos Aires, sentencia del 22 de mayo de 2026.</w:t>
      </w:r>
      <w:r w:rsidR="00484D1A">
        <w:rPr>
          <w:b/>
          <w:bCs/>
        </w:rPr>
        <w:t xml:space="preserve"> Expone: Mariana Mattarollo</w:t>
      </w:r>
    </w:p>
    <w:p w14:paraId="2505DB88" w14:textId="77777777" w:rsidR="003B5BF4" w:rsidRDefault="003B5BF4" w:rsidP="003B5BF4">
      <w:pPr>
        <w:pStyle w:val="ListParagraph"/>
        <w:shd w:val="clear" w:color="auto" w:fill="FFFFFF"/>
        <w:jc w:val="both"/>
      </w:pPr>
    </w:p>
    <w:p w14:paraId="64497F79" w14:textId="12ED9908" w:rsidR="00C323E1" w:rsidRPr="008C121F" w:rsidRDefault="00C323E1" w:rsidP="00C323E1">
      <w:pPr>
        <w:pStyle w:val="ListParagraph"/>
        <w:numPr>
          <w:ilvl w:val="0"/>
          <w:numId w:val="7"/>
        </w:numPr>
        <w:shd w:val="clear" w:color="auto" w:fill="FFFFFF"/>
        <w:jc w:val="both"/>
      </w:pPr>
      <w:r w:rsidRPr="00BE0B2E">
        <w:t>Impuesto sobre los Ingresos Brutos.</w:t>
      </w:r>
      <w:r w:rsidR="008C121F">
        <w:t xml:space="preserve"> Entidades sin fin de lucro. Vulneración de la Ley de Coparticipación Federal de Impuestos N°23.548. Aplicación del fallo “Cooperativa de Provisión y Consumo Ltda.</w:t>
      </w:r>
      <w:r w:rsidR="00B86FA5">
        <w:t xml:space="preserve"> Alberdi</w:t>
      </w:r>
      <w:r w:rsidR="008C121F">
        <w:t xml:space="preserve"> c/ Prov. del Chaco” de C.S.J.N. Se hace lugar a la demanda.</w:t>
      </w:r>
      <w:r w:rsidRPr="00BE0B2E">
        <w:t xml:space="preserve"> </w:t>
      </w:r>
      <w:r w:rsidRPr="00C323E1">
        <w:rPr>
          <w:b/>
          <w:bCs/>
        </w:rPr>
        <w:t>“</w:t>
      </w:r>
      <w:r>
        <w:rPr>
          <w:b/>
          <w:bCs/>
        </w:rPr>
        <w:t xml:space="preserve">Cooperativa de Trabajo </w:t>
      </w:r>
      <w:proofErr w:type="spellStart"/>
      <w:r>
        <w:rPr>
          <w:b/>
          <w:bCs/>
        </w:rPr>
        <w:t>Cafal</w:t>
      </w:r>
      <w:r w:rsidR="008C121F">
        <w:rPr>
          <w:b/>
          <w:bCs/>
        </w:rPr>
        <w:t>s</w:t>
      </w:r>
      <w:r>
        <w:rPr>
          <w:b/>
          <w:bCs/>
        </w:rPr>
        <w:t>er</w:t>
      </w:r>
      <w:proofErr w:type="spellEnd"/>
      <w:r>
        <w:rPr>
          <w:b/>
          <w:bCs/>
        </w:rPr>
        <w:t xml:space="preserve"> Ltda. c/ Gobierno de la Provincia de San Luis s/ demanda </w:t>
      </w:r>
      <w:r w:rsidR="008C121F">
        <w:rPr>
          <w:b/>
          <w:bCs/>
        </w:rPr>
        <w:t xml:space="preserve">de </w:t>
      </w:r>
      <w:r>
        <w:rPr>
          <w:b/>
          <w:bCs/>
        </w:rPr>
        <w:t>inconstitucionalidad</w:t>
      </w:r>
      <w:r w:rsidRPr="00C323E1">
        <w:rPr>
          <w:b/>
          <w:bCs/>
        </w:rPr>
        <w:t xml:space="preserve">”, </w:t>
      </w:r>
      <w:r>
        <w:rPr>
          <w:b/>
          <w:bCs/>
        </w:rPr>
        <w:t xml:space="preserve">Superior </w:t>
      </w:r>
      <w:r w:rsidR="00354488">
        <w:rPr>
          <w:b/>
          <w:bCs/>
        </w:rPr>
        <w:t xml:space="preserve">Tribunal </w:t>
      </w:r>
      <w:r>
        <w:rPr>
          <w:b/>
          <w:bCs/>
        </w:rPr>
        <w:t>de Justicia de la Prov. de San Luis</w:t>
      </w:r>
      <w:r w:rsidRPr="00C323E1">
        <w:rPr>
          <w:b/>
          <w:bCs/>
        </w:rPr>
        <w:t xml:space="preserve">, sentencia del </w:t>
      </w:r>
      <w:r>
        <w:rPr>
          <w:b/>
          <w:bCs/>
        </w:rPr>
        <w:t>20 de noviembre</w:t>
      </w:r>
      <w:r w:rsidRPr="00C323E1">
        <w:rPr>
          <w:b/>
          <w:bCs/>
        </w:rPr>
        <w:t xml:space="preserve"> de 202</w:t>
      </w:r>
      <w:r>
        <w:rPr>
          <w:b/>
          <w:bCs/>
        </w:rPr>
        <w:t>5.</w:t>
      </w:r>
    </w:p>
    <w:p w14:paraId="6FBC2CFB" w14:textId="77777777" w:rsidR="008C121F" w:rsidRDefault="008C121F" w:rsidP="008C121F">
      <w:pPr>
        <w:shd w:val="clear" w:color="auto" w:fill="FFFFFF"/>
        <w:jc w:val="both"/>
      </w:pPr>
    </w:p>
    <w:p w14:paraId="46F90178" w14:textId="40148A11" w:rsidR="008C121F" w:rsidRPr="007A66A6" w:rsidRDefault="008C121F" w:rsidP="008C121F">
      <w:pPr>
        <w:pStyle w:val="ListParagraph"/>
        <w:numPr>
          <w:ilvl w:val="0"/>
          <w:numId w:val="7"/>
        </w:numPr>
        <w:shd w:val="clear" w:color="auto" w:fill="FFFFFF"/>
        <w:jc w:val="both"/>
      </w:pPr>
      <w:r>
        <w:t xml:space="preserve">Tasas. </w:t>
      </w:r>
      <w:r w:rsidR="00354D39">
        <w:t>Derechos de Publicidad y Propaganda. Publicidad en el interior de los locales. Vulneración de la Ley de Coparticipación Federal de Impuestos N° 23.548 y el “Pacto Federal de 1993”. Se hace lugar a la demanda co</w:t>
      </w:r>
      <w:r w:rsidR="00792FC3">
        <w:t>n</w:t>
      </w:r>
      <w:r w:rsidR="00354D39">
        <w:t xml:space="preserve"> cita de precedentes del propio S</w:t>
      </w:r>
      <w:r w:rsidR="00792FC3">
        <w:t>T</w:t>
      </w:r>
      <w:r w:rsidR="00354D39">
        <w:t xml:space="preserve">J y de otros tribunales y de resoluciones de la CFI. </w:t>
      </w:r>
      <w:r>
        <w:rPr>
          <w:b/>
          <w:bCs/>
        </w:rPr>
        <w:t xml:space="preserve">“Embotelladora del Atlántico S.A. c/ Municipalidad de Villa Merlo - Demanda </w:t>
      </w:r>
      <w:proofErr w:type="gramStart"/>
      <w:r>
        <w:rPr>
          <w:b/>
          <w:bCs/>
        </w:rPr>
        <w:t>contencioso administrativa</w:t>
      </w:r>
      <w:proofErr w:type="gramEnd"/>
      <w:r>
        <w:rPr>
          <w:b/>
          <w:bCs/>
        </w:rPr>
        <w:t>”, Super</w:t>
      </w:r>
      <w:r w:rsidR="00354488">
        <w:rPr>
          <w:b/>
          <w:bCs/>
        </w:rPr>
        <w:t>ior Tribunal de Justicia de la Prov. de San Luis, sentencia del 13 de febrero de 2026.</w:t>
      </w:r>
    </w:p>
    <w:p w14:paraId="00ECFA3A" w14:textId="77777777" w:rsidR="007A66A6" w:rsidRDefault="007A66A6" w:rsidP="007A66A6">
      <w:pPr>
        <w:pStyle w:val="ListParagraph"/>
      </w:pPr>
    </w:p>
    <w:p w14:paraId="5F1698B3" w14:textId="5881C59D" w:rsidR="007A66A6" w:rsidRPr="005B63D8" w:rsidRDefault="007A66A6" w:rsidP="008C121F">
      <w:pPr>
        <w:pStyle w:val="ListParagraph"/>
        <w:numPr>
          <w:ilvl w:val="0"/>
          <w:numId w:val="7"/>
        </w:numPr>
        <w:shd w:val="clear" w:color="auto" w:fill="FFFFFF"/>
        <w:jc w:val="both"/>
        <w:rPr>
          <w:lang w:val="es-AR"/>
        </w:rPr>
      </w:pPr>
      <w:r>
        <w:t>Impuesto sobre los Ingresos Brutos.</w:t>
      </w:r>
      <w:r w:rsidR="00706C9E">
        <w:t xml:space="preserve"> Ingresos por “expensas comunes” y “fondo de promoción”.  Gravabilidad con cita del fallo “</w:t>
      </w:r>
      <w:proofErr w:type="spellStart"/>
      <w:r w:rsidR="00706C9E">
        <w:t>Procosud</w:t>
      </w:r>
      <w:proofErr w:type="spellEnd"/>
      <w:r w:rsidR="00706C9E">
        <w:t xml:space="preserve">” del TFA PBA Sala II, 22/05/2012. Supuesta violación de la Ley de Coparticipación por ausencia de lucro: además de sostener la deficiencia argumentativa y probatoria, remite a la nueva definición del objeto del Impuesto establecida por el Consenso Fiscal de 2021. </w:t>
      </w:r>
      <w:r>
        <w:t xml:space="preserve"> </w:t>
      </w:r>
      <w:r w:rsidRPr="007A66A6">
        <w:rPr>
          <w:b/>
          <w:bCs/>
          <w:lang w:val="es-AR"/>
        </w:rPr>
        <w:t>“Open Mall S.A. c/ Administración Tributa</w:t>
      </w:r>
      <w:r>
        <w:rPr>
          <w:b/>
          <w:bCs/>
          <w:lang w:val="es-AR"/>
        </w:rPr>
        <w:t xml:space="preserve">ria Mendoza (ATM) s/ acción procesal administrativa”, Superior Tribunal de Justicia de la </w:t>
      </w:r>
      <w:r w:rsidR="008408EA">
        <w:rPr>
          <w:b/>
          <w:bCs/>
          <w:lang w:val="es-AR"/>
        </w:rPr>
        <w:t>Prov. de Mendoza, sentencia del 20 de abril de 2026.</w:t>
      </w:r>
    </w:p>
    <w:p w14:paraId="097FC63A" w14:textId="77777777" w:rsidR="005B63D8" w:rsidRPr="005B63D8" w:rsidRDefault="005B63D8" w:rsidP="005B63D8">
      <w:pPr>
        <w:pStyle w:val="ListParagraph"/>
        <w:rPr>
          <w:lang w:val="es-AR"/>
        </w:rPr>
      </w:pPr>
    </w:p>
    <w:p w14:paraId="1F2CDBE0" w14:textId="3E9CFE8B" w:rsidR="005B63D8" w:rsidRPr="00930B5A" w:rsidRDefault="005B63D8" w:rsidP="005B63D8">
      <w:pPr>
        <w:pStyle w:val="ListParagraph"/>
        <w:numPr>
          <w:ilvl w:val="0"/>
          <w:numId w:val="7"/>
        </w:numPr>
        <w:jc w:val="both"/>
      </w:pPr>
      <w:r>
        <w:t>Infracción a los deberes formales – COT. Multa. Traslado de mercadería sin haber generado el COT ni el Remito Electrónico</w:t>
      </w:r>
      <w:r w:rsidR="0092358F">
        <w:t>,</w:t>
      </w:r>
      <w:r>
        <w:t xml:space="preserve"> pero contando con remitos ARCA en regla. Reducción al mínimo legal.  </w:t>
      </w:r>
      <w:r>
        <w:rPr>
          <w:b/>
          <w:bCs/>
        </w:rPr>
        <w:t>“</w:t>
      </w:r>
      <w:proofErr w:type="spellStart"/>
      <w:r>
        <w:rPr>
          <w:b/>
          <w:bCs/>
        </w:rPr>
        <w:t>Enod</w:t>
      </w:r>
      <w:proofErr w:type="spellEnd"/>
      <w:r>
        <w:rPr>
          <w:b/>
          <w:bCs/>
        </w:rPr>
        <w:t xml:space="preserve"> S.A.”, Tribunal Fiscal de Apelación de la Prov. de Buenos Aires, Sala III, sentencia del 2 de junio de 2026.</w:t>
      </w:r>
      <w:r w:rsidR="00484D1A">
        <w:rPr>
          <w:b/>
          <w:bCs/>
        </w:rPr>
        <w:t xml:space="preserve"> Expone: Bárbara Holgado.</w:t>
      </w:r>
    </w:p>
    <w:p w14:paraId="16FBE563" w14:textId="77777777" w:rsidR="005B63D8" w:rsidRDefault="005B63D8" w:rsidP="005B63D8">
      <w:pPr>
        <w:pStyle w:val="ListParagraph"/>
      </w:pPr>
    </w:p>
    <w:p w14:paraId="589BC59B" w14:textId="38C6EF2A" w:rsidR="005B63D8" w:rsidRPr="00003D13" w:rsidRDefault="005B63D8" w:rsidP="005B63D8">
      <w:pPr>
        <w:pStyle w:val="ListParagraph"/>
        <w:numPr>
          <w:ilvl w:val="0"/>
          <w:numId w:val="7"/>
        </w:numPr>
        <w:jc w:val="both"/>
      </w:pPr>
      <w:r>
        <w:lastRenderedPageBreak/>
        <w:t xml:space="preserve">Impuestos sobre los Ingresos Brutos. Recurso presentado por la actora y por </w:t>
      </w:r>
      <w:r>
        <w:rPr>
          <w:u w:val="single"/>
        </w:rPr>
        <w:t xml:space="preserve">parte </w:t>
      </w:r>
      <w:r>
        <w:t xml:space="preserve">de los supuestos deudores solidarios conforme surge de las “constancias de materialidad” respectivas. Se ordena el tratamiento de los recursos del </w:t>
      </w:r>
      <w:r>
        <w:rPr>
          <w:u w:val="single"/>
        </w:rPr>
        <w:t>resto</w:t>
      </w:r>
      <w:r>
        <w:t xml:space="preserve"> de los sujetos a quienes se asignó responsabilidad solidaria</w:t>
      </w:r>
      <w:r w:rsidR="00821130">
        <w:t xml:space="preserve"> por cuanto aquellos fueron presentados en término</w:t>
      </w:r>
      <w:r>
        <w:t xml:space="preserve">. </w:t>
      </w:r>
      <w:r>
        <w:rPr>
          <w:b/>
          <w:bCs/>
        </w:rPr>
        <w:t xml:space="preserve">“Los Lagartos Country Club </w:t>
      </w:r>
      <w:proofErr w:type="spellStart"/>
      <w:r>
        <w:rPr>
          <w:b/>
          <w:bCs/>
        </w:rPr>
        <w:t>Asoc</w:t>
      </w:r>
      <w:proofErr w:type="spellEnd"/>
      <w:r>
        <w:rPr>
          <w:b/>
          <w:bCs/>
        </w:rPr>
        <w:t>.”, Tribunal Fiscal de Apelación de la Prov. de Buenos Aires, Sala II, sentencia del 21 de mayo de 2026.</w:t>
      </w:r>
      <w:r w:rsidR="00484D1A">
        <w:rPr>
          <w:b/>
          <w:bCs/>
        </w:rPr>
        <w:t xml:space="preserve"> Expone: María Inés Giménez.</w:t>
      </w:r>
    </w:p>
    <w:p w14:paraId="0B73FB56" w14:textId="77777777" w:rsidR="00003D13" w:rsidRDefault="00003D13" w:rsidP="00003D13">
      <w:pPr>
        <w:pStyle w:val="ListParagraph"/>
      </w:pPr>
    </w:p>
    <w:p w14:paraId="386B67A5" w14:textId="3542C834" w:rsidR="00003D13" w:rsidRPr="00003D13" w:rsidRDefault="00003D13" w:rsidP="005B63D8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003D13">
        <w:t xml:space="preserve">Impuesto sobre los Ingresos Brutos. Alícuota Diferencial. CSJN: competencia. Medida cautelar de no innovar: concesión. </w:t>
      </w:r>
      <w:r w:rsidRPr="00003D13">
        <w:rPr>
          <w:b/>
          <w:bCs/>
        </w:rPr>
        <w:t>CSJN, "</w:t>
      </w:r>
      <w:proofErr w:type="spellStart"/>
      <w:r w:rsidRPr="00003D13">
        <w:rPr>
          <w:b/>
          <w:bCs/>
        </w:rPr>
        <w:t>Indunor</w:t>
      </w:r>
      <w:proofErr w:type="spellEnd"/>
      <w:r w:rsidRPr="00003D13">
        <w:rPr>
          <w:b/>
          <w:bCs/>
        </w:rPr>
        <w:t xml:space="preserve"> S.A. c/ Gobierno de la Ciudad de Buenos Aires s/ acción declarativa de inconstitucionalidad", CSJ 269/2023, </w:t>
      </w:r>
      <w:r w:rsidR="00A76316">
        <w:rPr>
          <w:b/>
          <w:bCs/>
        </w:rPr>
        <w:t>sentencia</w:t>
      </w:r>
      <w:r w:rsidRPr="00003D13">
        <w:rPr>
          <w:b/>
          <w:bCs/>
        </w:rPr>
        <w:t xml:space="preserve"> del 4/6/2026.</w:t>
      </w:r>
    </w:p>
    <w:p w14:paraId="67DDDF5F" w14:textId="77777777" w:rsidR="00003D13" w:rsidRPr="00003D13" w:rsidRDefault="00003D13" w:rsidP="00003D13">
      <w:pPr>
        <w:pStyle w:val="ListParagraph"/>
      </w:pPr>
    </w:p>
    <w:p w14:paraId="2DB084A8" w14:textId="7783C554" w:rsidR="00003D13" w:rsidRPr="00003D13" w:rsidRDefault="00003D13" w:rsidP="005B63D8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003D13">
        <w:t xml:space="preserve">Impuesto sobre los Ingresos Brutos. Alícuota diferencial. Sentencia de fondo, hace lugar a la acción iniciada por el contribuyente. </w:t>
      </w:r>
      <w:r w:rsidRPr="00003D13">
        <w:rPr>
          <w:b/>
          <w:bCs/>
        </w:rPr>
        <w:t>CSJN, "Agropecuaria El Jagüel S.A. c/ Provincia de Buenos Aires s/ acción declarativa de certeza", CSJ 1608/2018, sentencia del 4/6/2026.</w:t>
      </w:r>
    </w:p>
    <w:p w14:paraId="5422950F" w14:textId="77777777" w:rsidR="00B95FCA" w:rsidRPr="007A66A6" w:rsidRDefault="00B95FCA" w:rsidP="00B95FCA">
      <w:pPr>
        <w:pStyle w:val="ListParagraph"/>
        <w:shd w:val="clear" w:color="auto" w:fill="FFFFFF"/>
        <w:jc w:val="both"/>
        <w:rPr>
          <w:lang w:val="es-AR"/>
        </w:rPr>
      </w:pPr>
    </w:p>
    <w:p w14:paraId="2F9676CA" w14:textId="77777777" w:rsidR="00DB75DD" w:rsidRPr="007A66A6" w:rsidRDefault="00DB75DD" w:rsidP="00F70C85">
      <w:pPr>
        <w:ind w:left="360"/>
        <w:rPr>
          <w:lang w:val="es-AR"/>
        </w:rPr>
      </w:pPr>
    </w:p>
    <w:p w14:paraId="47B8DED7" w14:textId="3F154A9F" w:rsidR="00475388" w:rsidRPr="00BE0B2E" w:rsidRDefault="00475388" w:rsidP="00475388">
      <w:pPr>
        <w:shd w:val="clear" w:color="auto" w:fill="FFFFFF"/>
        <w:jc w:val="both"/>
        <w:rPr>
          <w:u w:val="single"/>
        </w:rPr>
      </w:pPr>
      <w:r w:rsidRPr="00BE0B2E">
        <w:rPr>
          <w:u w:val="single"/>
        </w:rPr>
        <w:t>Pendientes reunión anterior (selección)</w:t>
      </w:r>
    </w:p>
    <w:p w14:paraId="34A5B3CA" w14:textId="77777777" w:rsidR="00475388" w:rsidRPr="00BE0B2E" w:rsidRDefault="00475388" w:rsidP="00475388">
      <w:pPr>
        <w:shd w:val="clear" w:color="auto" w:fill="FFFFFF"/>
        <w:jc w:val="both"/>
        <w:rPr>
          <w:u w:val="single"/>
        </w:rPr>
      </w:pPr>
    </w:p>
    <w:p w14:paraId="7C68C68F" w14:textId="5E153076" w:rsidR="00674904" w:rsidRPr="005D7E2B" w:rsidRDefault="00674904" w:rsidP="005D7E2B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BE0B2E">
        <w:t>Impuesto sobre los Ingresos Brutos. Régimen de percepción bancaria SIRCREB y aduanera – SIRPEI. Acción declarativa de inconstitucionalidad. Medida cautelar: se deja sin efecto el fallo de primera instancia y se la concede con cita de los precedentes “</w:t>
      </w:r>
      <w:proofErr w:type="spellStart"/>
      <w:r w:rsidRPr="00BE0B2E">
        <w:t>Cofco</w:t>
      </w:r>
      <w:proofErr w:type="spellEnd"/>
      <w:r w:rsidRPr="00BE0B2E">
        <w:t xml:space="preserve"> International”, “Adeco Agropecuaria” y “</w:t>
      </w:r>
      <w:proofErr w:type="spellStart"/>
      <w:r w:rsidRPr="00BE0B2E">
        <w:t>Priotti</w:t>
      </w:r>
      <w:proofErr w:type="spellEnd"/>
      <w:r w:rsidRPr="00BE0B2E">
        <w:t xml:space="preserve">”. </w:t>
      </w:r>
      <w:r w:rsidRPr="005D7E2B">
        <w:rPr>
          <w:b/>
          <w:bCs/>
        </w:rPr>
        <w:t xml:space="preserve">“Incidente N° 1 – .ACTOR  </w:t>
      </w:r>
      <w:proofErr w:type="spellStart"/>
      <w:r w:rsidRPr="005D7E2B">
        <w:rPr>
          <w:b/>
          <w:bCs/>
        </w:rPr>
        <w:t>Finadiet</w:t>
      </w:r>
      <w:proofErr w:type="spellEnd"/>
      <w:r w:rsidRPr="005D7E2B">
        <w:rPr>
          <w:b/>
          <w:bCs/>
        </w:rPr>
        <w:t xml:space="preserve"> S.A. </w:t>
      </w:r>
      <w:proofErr w:type="spellStart"/>
      <w:r w:rsidRPr="005D7E2B">
        <w:rPr>
          <w:b/>
          <w:bCs/>
        </w:rPr>
        <w:t>Com</w:t>
      </w:r>
      <w:proofErr w:type="spellEnd"/>
      <w:r w:rsidRPr="005D7E2B">
        <w:rPr>
          <w:b/>
          <w:bCs/>
        </w:rPr>
        <w:t xml:space="preserve"> </w:t>
      </w:r>
      <w:proofErr w:type="spellStart"/>
      <w:r w:rsidRPr="005D7E2B">
        <w:rPr>
          <w:b/>
          <w:bCs/>
        </w:rPr>
        <w:t>Ind</w:t>
      </w:r>
      <w:proofErr w:type="spellEnd"/>
      <w:r w:rsidRPr="005D7E2B">
        <w:rPr>
          <w:b/>
          <w:bCs/>
        </w:rPr>
        <w:t xml:space="preserve"> Fin e </w:t>
      </w:r>
      <w:proofErr w:type="spellStart"/>
      <w:r w:rsidRPr="005D7E2B">
        <w:rPr>
          <w:b/>
          <w:bCs/>
        </w:rPr>
        <w:t>Inmob</w:t>
      </w:r>
      <w:proofErr w:type="spellEnd"/>
      <w:r w:rsidRPr="005D7E2B">
        <w:rPr>
          <w:b/>
          <w:bCs/>
        </w:rPr>
        <w:t xml:space="preserve"> DEMANDADO: Comisión Arbitral del Convenio Multilateral – RESOL 104/04 y RESOL 6/2020 s/ </w:t>
      </w:r>
      <w:proofErr w:type="spellStart"/>
      <w:r w:rsidRPr="005D7E2B">
        <w:rPr>
          <w:b/>
          <w:bCs/>
        </w:rPr>
        <w:t>inc</w:t>
      </w:r>
      <w:proofErr w:type="spellEnd"/>
      <w:r w:rsidRPr="005D7E2B">
        <w:rPr>
          <w:b/>
          <w:bCs/>
        </w:rPr>
        <w:t xml:space="preserve"> apelación”, Cámara en lo Contencioso Administrativo Federal, Sala II, sentencia del 17 de abril de 2026.</w:t>
      </w:r>
      <w:r w:rsidR="00484D1A">
        <w:rPr>
          <w:b/>
          <w:bCs/>
        </w:rPr>
        <w:t xml:space="preserve"> Expone: Gustavo Grinberg.</w:t>
      </w:r>
    </w:p>
    <w:p w14:paraId="4C31524B" w14:textId="77777777" w:rsidR="00674904" w:rsidRDefault="00674904" w:rsidP="00674904">
      <w:pPr>
        <w:jc w:val="both"/>
        <w:rPr>
          <w:b/>
          <w:bCs/>
        </w:rPr>
      </w:pPr>
    </w:p>
    <w:p w14:paraId="32407E85" w14:textId="77777777" w:rsidR="00674904" w:rsidRPr="00BE0B2E" w:rsidRDefault="00674904" w:rsidP="00674904">
      <w:pPr>
        <w:pStyle w:val="ListParagraph"/>
        <w:jc w:val="both"/>
      </w:pPr>
    </w:p>
    <w:p w14:paraId="6F427B1F" w14:textId="53A2F787" w:rsidR="00674904" w:rsidRPr="005D7E2B" w:rsidRDefault="00674904" w:rsidP="005D7E2B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BE0B2E">
        <w:t>Impuesto sobre los Ingresos Brutos. Omisión de actuar como agente de percepción. Prescripción: se hace lugar parcialmente al agravio. Se abandona de la doctrina “</w:t>
      </w:r>
      <w:proofErr w:type="spellStart"/>
      <w:r w:rsidRPr="00BE0B2E">
        <w:t>Mareque</w:t>
      </w:r>
      <w:proofErr w:type="spellEnd"/>
      <w:r w:rsidRPr="00BE0B2E">
        <w:t xml:space="preserve">” pero se aplica  la suspensión de seis meses conforme el fallo “Banco Nación” y el nuevo CCyCN. Recargos: se confirman con relación a los ajustes confirmados. No aplicación de “Alpha </w:t>
      </w:r>
      <w:proofErr w:type="spellStart"/>
      <w:r w:rsidRPr="00BE0B2E">
        <w:t>Shipping</w:t>
      </w:r>
      <w:proofErr w:type="spellEnd"/>
      <w:r w:rsidRPr="00BE0B2E">
        <w:t>”.  “</w:t>
      </w:r>
      <w:proofErr w:type="spellStart"/>
      <w:r w:rsidRPr="005D7E2B">
        <w:rPr>
          <w:b/>
          <w:bCs/>
        </w:rPr>
        <w:t>Bulonfer</w:t>
      </w:r>
      <w:proofErr w:type="spellEnd"/>
      <w:r w:rsidRPr="005D7E2B">
        <w:rPr>
          <w:b/>
          <w:bCs/>
        </w:rPr>
        <w:t xml:space="preserve"> S.A.”, Tribunal Fiscal de Apelación de la Provincia de Buenos Aires, Sala I, sentencia del 4 de mayo de 2026.</w:t>
      </w:r>
    </w:p>
    <w:p w14:paraId="21AB8294" w14:textId="77777777" w:rsidR="00674904" w:rsidRDefault="00674904" w:rsidP="00674904">
      <w:pPr>
        <w:ind w:left="360"/>
        <w:jc w:val="both"/>
        <w:rPr>
          <w:b/>
          <w:bCs/>
        </w:rPr>
      </w:pPr>
    </w:p>
    <w:p w14:paraId="4ECD7527" w14:textId="77777777" w:rsidR="00D4760A" w:rsidRPr="00BE0B2E" w:rsidRDefault="00D4760A" w:rsidP="00703E6E">
      <w:pPr>
        <w:shd w:val="clear" w:color="auto" w:fill="FFFFFF"/>
        <w:ind w:left="1070"/>
        <w:jc w:val="both"/>
      </w:pPr>
    </w:p>
    <w:p w14:paraId="20450CF4" w14:textId="77777777" w:rsidR="00866595" w:rsidRPr="00BE0B2E" w:rsidRDefault="00866595" w:rsidP="00866595">
      <w:pPr>
        <w:pStyle w:val="ListParagraph"/>
        <w:tabs>
          <w:tab w:val="left" w:pos="1150"/>
        </w:tabs>
        <w:ind w:left="0"/>
        <w:jc w:val="both"/>
        <w:rPr>
          <w:rFonts w:ascii="Cambria" w:eastAsia="Arial" w:hAnsi="Cambria"/>
          <w:smallCaps/>
          <w:spacing w:val="-3"/>
          <w:u w:val="single"/>
        </w:rPr>
      </w:pPr>
      <w:r w:rsidRPr="00BE0B2E">
        <w:rPr>
          <w:rFonts w:ascii="Cambria" w:eastAsia="Arial" w:hAnsi="Cambria"/>
          <w:smallCaps/>
          <w:spacing w:val="-3"/>
          <w:u w:val="single"/>
        </w:rPr>
        <w:t>Comisión Arbitral y Comisión Plenaria.</w:t>
      </w:r>
    </w:p>
    <w:p w14:paraId="07781C79" w14:textId="77777777" w:rsidR="00244E80" w:rsidRPr="00244E80" w:rsidRDefault="00244E80" w:rsidP="00244E80">
      <w:pPr>
        <w:jc w:val="both"/>
        <w:rPr>
          <w:rFonts w:ascii="Cambria" w:hAnsi="Cambria"/>
        </w:rPr>
      </w:pPr>
    </w:p>
    <w:p w14:paraId="0D61A958" w14:textId="77777777" w:rsidR="00244E80" w:rsidRPr="00244E80" w:rsidRDefault="00244E80" w:rsidP="00244E80">
      <w:pPr>
        <w:jc w:val="both"/>
        <w:rPr>
          <w:rFonts w:ascii="Cambria" w:hAnsi="Cambria"/>
        </w:rPr>
      </w:pPr>
    </w:p>
    <w:p w14:paraId="4657D36A" w14:textId="04961D84" w:rsidR="006676FE" w:rsidRPr="006676FE" w:rsidRDefault="006676FE" w:rsidP="005D7E2B">
      <w:pPr>
        <w:pStyle w:val="ListParagraph"/>
        <w:numPr>
          <w:ilvl w:val="0"/>
          <w:numId w:val="7"/>
        </w:numPr>
        <w:jc w:val="both"/>
        <w:rPr>
          <w:rFonts w:ascii="Cambria" w:hAnsi="Cambria"/>
        </w:rPr>
      </w:pPr>
      <w:r>
        <w:t>Resolución (CA) N° 4/2026 “Parrado y Asociados S.A. c/ Provincia de Buenos Aires”, 8 de abril de 2026.</w:t>
      </w:r>
      <w:r w:rsidR="00ED3D71">
        <w:t xml:space="preserve"> Productor asesor de seguros. Régimen General art. 2° del CM. Empresa con oficinas en PBA. Para la accionante los ingresos deben ser asignados a CABA dado que las compañías de seguro clientes tienen domicilio en la Ciudad. Ausencia de prueba que acredite la afectiva prestación del servicio en CABA. No se hace lugar a la acción.</w:t>
      </w:r>
    </w:p>
    <w:p w14:paraId="3D909164" w14:textId="77777777" w:rsidR="006676FE" w:rsidRPr="006676FE" w:rsidRDefault="006676FE" w:rsidP="006676FE">
      <w:pPr>
        <w:pStyle w:val="ListParagraph"/>
        <w:jc w:val="both"/>
        <w:rPr>
          <w:rFonts w:ascii="Cambria" w:hAnsi="Cambria"/>
        </w:rPr>
      </w:pPr>
    </w:p>
    <w:p w14:paraId="3691B2F7" w14:textId="742E8860" w:rsidR="00244E80" w:rsidRPr="00244E80" w:rsidRDefault="00244E80" w:rsidP="005D7E2B">
      <w:pPr>
        <w:pStyle w:val="ListParagraph"/>
        <w:numPr>
          <w:ilvl w:val="0"/>
          <w:numId w:val="7"/>
        </w:numPr>
        <w:jc w:val="both"/>
        <w:rPr>
          <w:rFonts w:ascii="Cambria" w:hAnsi="Cambria"/>
        </w:rPr>
      </w:pPr>
      <w:r>
        <w:t>Resolución (CA) N° 5/2026 “Díaz Riganti Cereales S.A. (continuadora de Díaz Riganti Cereales S.R.L) c/ Provincia de Santa Fe”, 6 de mayo de 2026.</w:t>
      </w:r>
      <w:r w:rsidR="006676FE">
        <w:t xml:space="preserve"> Régimen General art. 2° vs. Especial art. 11. Empresa con jurisdicción sede en CABA pero que posee oficina comercial en Rosario. Dado que los bienes comercializados se encuentran en Santa Fe, procede liquidar por artículo 2°. Operaciones según la accionante de carácter accesorio o complementario y por ende susceptibles de ser liquidadas cfr. el art. 11 del CM</w:t>
      </w:r>
      <w:r w:rsidR="005F0C47">
        <w:t>:</w:t>
      </w:r>
      <w:r w:rsidR="006676FE">
        <w:t xml:space="preserve"> son operaciones que presentan individualidad propia y del género servicios por lo que no aplica el art. 11 (derivados en el MAT y ROFEX, ingresos </w:t>
      </w:r>
      <w:r w:rsidR="002C5DA1">
        <w:t>financieros</w:t>
      </w:r>
      <w:r w:rsidR="006676FE">
        <w:t>, FCI.)</w:t>
      </w:r>
    </w:p>
    <w:p w14:paraId="4BB3BAD8" w14:textId="77777777" w:rsidR="00244E80" w:rsidRDefault="00244E80" w:rsidP="00244E80">
      <w:pPr>
        <w:pStyle w:val="ListParagraph"/>
        <w:jc w:val="both"/>
        <w:rPr>
          <w:rFonts w:ascii="Cambria" w:hAnsi="Cambria"/>
        </w:rPr>
      </w:pPr>
    </w:p>
    <w:p w14:paraId="38BDC4A5" w14:textId="77777777" w:rsidR="002948A2" w:rsidRDefault="00830C62" w:rsidP="002948A2">
      <w:pPr>
        <w:pStyle w:val="ListParagraph"/>
        <w:numPr>
          <w:ilvl w:val="0"/>
          <w:numId w:val="7"/>
        </w:numPr>
        <w:jc w:val="both"/>
      </w:pPr>
      <w:r w:rsidRPr="00830C62">
        <w:t xml:space="preserve">Resolución </w:t>
      </w:r>
      <w:r>
        <w:t>(</w:t>
      </w:r>
      <w:r w:rsidRPr="00830C62">
        <w:t>CA</w:t>
      </w:r>
      <w:r>
        <w:t xml:space="preserve">) </w:t>
      </w:r>
      <w:r w:rsidRPr="00830C62">
        <w:t>N° 6/2026 “Toyota Compañía Financiera de Argentina SA (TCF) c/ provincia de Buenos Aires”</w:t>
      </w:r>
      <w:r w:rsidR="002948A2">
        <w:t>. A</w:t>
      </w:r>
      <w:r w:rsidRPr="00830C62">
        <w:t xml:space="preserve">plicación del art. 8 del CM Multilateral (régimen para entidades financieras). </w:t>
      </w:r>
    </w:p>
    <w:p w14:paraId="74689D10" w14:textId="0923A95A" w:rsidR="00830C62" w:rsidRPr="00830C62" w:rsidRDefault="00830C62" w:rsidP="00830C62">
      <w:pPr>
        <w:pStyle w:val="ListParagraph"/>
        <w:jc w:val="both"/>
      </w:pPr>
      <w:r w:rsidRPr="00830C62">
        <w:t xml:space="preserve">La empresa tiene su única sede o filial habilitada en Vicente López, Provincia de Buenos Aires, y no posee sucursales en la Ciudad Autónoma de Buenos Aires (CABA). La discusión gira en torno a dónde debían atribuirse los ingresos de sus operaciones financieras llevadas a cabo en CABA. Toyota planteó que la provincia de Buenos Aires se reasignó los ingresos que la empresa había atribuido a la Ciudad Autónoma de Buenos Aires. </w:t>
      </w:r>
      <w:r w:rsidR="005F3D33">
        <w:t xml:space="preserve"> </w:t>
      </w:r>
      <w:r w:rsidRPr="00830C62">
        <w:t xml:space="preserve">La Comisión Arbitral </w:t>
      </w:r>
      <w:r w:rsidR="005F3D33">
        <w:t>d</w:t>
      </w:r>
      <w:r w:rsidRPr="00830C62">
        <w:t>eterminó que los ingresos por operaciones financieras y obligaciones negociables concertadas en CABA debían asignarse íntegramente a esa jurisdicción y no a la Provincia de Buenos Aires.</w:t>
      </w:r>
    </w:p>
    <w:p w14:paraId="7980301E" w14:textId="77777777" w:rsidR="00830C62" w:rsidRPr="00830C62" w:rsidRDefault="00830C62" w:rsidP="00244E80">
      <w:pPr>
        <w:pStyle w:val="ListParagraph"/>
        <w:jc w:val="both"/>
      </w:pPr>
    </w:p>
    <w:p w14:paraId="79CBFD19" w14:textId="2DAFB0B7" w:rsidR="00484D1A" w:rsidRDefault="00B405F5" w:rsidP="00484D1A">
      <w:pPr>
        <w:pStyle w:val="ListParagraph"/>
        <w:numPr>
          <w:ilvl w:val="0"/>
          <w:numId w:val="7"/>
        </w:numPr>
        <w:jc w:val="both"/>
        <w:rPr>
          <w:rFonts w:ascii="Cambria" w:hAnsi="Cambria"/>
        </w:rPr>
      </w:pPr>
      <w:r w:rsidRPr="00484D1A">
        <w:rPr>
          <w:rFonts w:ascii="Cambria" w:hAnsi="Cambria"/>
        </w:rPr>
        <w:t xml:space="preserve">Resolución (CA) N° 7/2026 “Expreso Oro Negro S.A. c/ Municipalidad de La Matanza, Prov. de Buenos Aires”. 6 de mayo de 2026. Aplicación del Régimen Especial art. 9° CM y del </w:t>
      </w:r>
      <w:r w:rsidR="002C5DA1" w:rsidRPr="00484D1A">
        <w:rPr>
          <w:rFonts w:ascii="Cambria" w:hAnsi="Cambria"/>
        </w:rPr>
        <w:t>artículo</w:t>
      </w:r>
      <w:r w:rsidRPr="00484D1A">
        <w:rPr>
          <w:rFonts w:ascii="Cambria" w:hAnsi="Cambria"/>
        </w:rPr>
        <w:t xml:space="preserve"> 35. Empresa que posee local en La Matanza dedicada a taller de reparación de los propios vehículos. Se ha acreditado que no hay viajes con origen La Matanza. Improcedencia de la pretensión fiscal.</w:t>
      </w:r>
    </w:p>
    <w:p w14:paraId="56368283" w14:textId="77777777" w:rsidR="00484D1A" w:rsidRDefault="00484D1A" w:rsidP="00484D1A">
      <w:pPr>
        <w:jc w:val="both"/>
        <w:rPr>
          <w:rFonts w:ascii="Cambria" w:hAnsi="Cambria"/>
        </w:rPr>
      </w:pPr>
    </w:p>
    <w:p w14:paraId="41B49B4A" w14:textId="5C8BD8A8" w:rsidR="00484D1A" w:rsidRPr="00484D1A" w:rsidRDefault="00484D1A" w:rsidP="00484D1A">
      <w:pPr>
        <w:jc w:val="both"/>
        <w:rPr>
          <w:rFonts w:ascii="Cambria" w:hAnsi="Cambria"/>
          <w:b/>
          <w:bCs/>
        </w:rPr>
      </w:pPr>
      <w:r w:rsidRPr="00484D1A">
        <w:rPr>
          <w:rFonts w:ascii="Cambria" w:hAnsi="Cambria"/>
          <w:b/>
          <w:bCs/>
        </w:rPr>
        <w:t>Comentarios de las novedades C.A. a cargo de Daniela Cístola.</w:t>
      </w:r>
    </w:p>
    <w:p w14:paraId="672B9C54" w14:textId="77777777" w:rsidR="00531B9F" w:rsidRDefault="00531B9F" w:rsidP="00866595">
      <w:pPr>
        <w:pStyle w:val="ListParagraph"/>
        <w:ind w:left="0"/>
        <w:rPr>
          <w:rFonts w:ascii="Cambria" w:eastAsia="Arial" w:hAnsi="Cambria"/>
          <w:smallCaps/>
          <w:spacing w:val="-3"/>
          <w:u w:val="single"/>
        </w:rPr>
      </w:pPr>
    </w:p>
    <w:p w14:paraId="35AE9B10" w14:textId="2B07D964" w:rsidR="00866595" w:rsidRPr="00BE0B2E" w:rsidRDefault="00866595" w:rsidP="00866595">
      <w:pPr>
        <w:pStyle w:val="ListParagraph"/>
        <w:ind w:left="0"/>
        <w:rPr>
          <w:rFonts w:ascii="Cambria" w:eastAsia="Arial" w:hAnsi="Cambria"/>
          <w:smallCaps/>
          <w:spacing w:val="-3"/>
          <w:u w:val="single"/>
        </w:rPr>
      </w:pPr>
      <w:r w:rsidRPr="00BE0B2E">
        <w:rPr>
          <w:rFonts w:ascii="Cambria" w:eastAsia="Arial" w:hAnsi="Cambria"/>
          <w:smallCaps/>
          <w:spacing w:val="-3"/>
          <w:u w:val="single"/>
        </w:rPr>
        <w:t xml:space="preserve">Legislación. </w:t>
      </w:r>
    </w:p>
    <w:p w14:paraId="067F819E" w14:textId="77777777" w:rsidR="00866595" w:rsidRPr="00BE0B2E" w:rsidRDefault="00866595" w:rsidP="00866595">
      <w:pPr>
        <w:shd w:val="clear" w:color="auto" w:fill="FFFFFF"/>
        <w:spacing w:line="225" w:lineRule="atLeast"/>
        <w:ind w:left="1070"/>
        <w:jc w:val="both"/>
        <w:textAlignment w:val="baseline"/>
        <w:rPr>
          <w:lang w:val="es-ES"/>
        </w:rPr>
      </w:pPr>
    </w:p>
    <w:p w14:paraId="7E0895FD" w14:textId="786D5401" w:rsidR="002E7082" w:rsidRDefault="002E7082" w:rsidP="005D7E2B">
      <w:pPr>
        <w:pStyle w:val="ListParagraph"/>
        <w:numPr>
          <w:ilvl w:val="0"/>
          <w:numId w:val="7"/>
        </w:numPr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  <w:r w:rsidRPr="00BE0B2E">
        <w:rPr>
          <w:lang w:eastAsia="es-AR"/>
        </w:rPr>
        <w:t>Ley N° 6</w:t>
      </w:r>
      <w:r>
        <w:rPr>
          <w:lang w:eastAsia="es-AR"/>
        </w:rPr>
        <w:t>948 – Ciudad Autónoma de Buenos Aires</w:t>
      </w:r>
      <w:r w:rsidRPr="00BE0B2E">
        <w:rPr>
          <w:lang w:eastAsia="es-AR"/>
        </w:rPr>
        <w:t>.</w:t>
      </w:r>
      <w:r>
        <w:rPr>
          <w:lang w:eastAsia="es-AR"/>
        </w:rPr>
        <w:t xml:space="preserve"> Modif. Ley Impositiva.</w:t>
      </w:r>
    </w:p>
    <w:p w14:paraId="53E108FD" w14:textId="77777777" w:rsidR="002E7082" w:rsidRDefault="002E7082" w:rsidP="002E7082">
      <w:pPr>
        <w:pStyle w:val="ListParagraph"/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</w:p>
    <w:p w14:paraId="75C39679" w14:textId="21F98FA6" w:rsidR="003B5BF4" w:rsidRDefault="00946B81" w:rsidP="005D7E2B">
      <w:pPr>
        <w:pStyle w:val="ListParagraph"/>
        <w:numPr>
          <w:ilvl w:val="0"/>
          <w:numId w:val="7"/>
        </w:numPr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  <w:r w:rsidRPr="00BE0B2E">
        <w:rPr>
          <w:lang w:eastAsia="es-AR"/>
        </w:rPr>
        <w:t>Ley N° 6</w:t>
      </w:r>
      <w:r w:rsidR="003B5BF4">
        <w:rPr>
          <w:lang w:eastAsia="es-AR"/>
        </w:rPr>
        <w:t>949 – Ciudad Autónoma de Buenos Aires</w:t>
      </w:r>
      <w:r w:rsidRPr="00BE0B2E">
        <w:rPr>
          <w:lang w:eastAsia="es-AR"/>
        </w:rPr>
        <w:t>.</w:t>
      </w:r>
      <w:r w:rsidR="003B5BF4">
        <w:rPr>
          <w:lang w:eastAsia="es-AR"/>
        </w:rPr>
        <w:t xml:space="preserve"> Adhesión </w:t>
      </w:r>
      <w:r w:rsidR="003B5BF4" w:rsidRPr="004959B8">
        <w:t>a las disposiciones contenidas en el Título VII "Régimen de Incentivos para Grandes Inversiones" de la Ley Nacional N° 27.742 - Ley de Bases y Puntos de Partida para la Libertad de los Argentinos</w:t>
      </w:r>
      <w:r w:rsidR="003B5BF4">
        <w:t>.</w:t>
      </w:r>
    </w:p>
    <w:p w14:paraId="53AF6FEB" w14:textId="77777777" w:rsidR="003B5BF4" w:rsidRDefault="003B5BF4" w:rsidP="003B5BF4">
      <w:pPr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</w:p>
    <w:p w14:paraId="15332093" w14:textId="6C98FACC" w:rsidR="00946B81" w:rsidRDefault="00946B81" w:rsidP="003B5BF4">
      <w:pPr>
        <w:pStyle w:val="ListParagraph"/>
        <w:numPr>
          <w:ilvl w:val="0"/>
          <w:numId w:val="7"/>
        </w:numPr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  <w:r w:rsidRPr="00BE0B2E">
        <w:rPr>
          <w:lang w:eastAsia="es-AR"/>
        </w:rPr>
        <w:t xml:space="preserve"> </w:t>
      </w:r>
      <w:r w:rsidR="003B5BF4" w:rsidRPr="00BE0B2E">
        <w:rPr>
          <w:lang w:eastAsia="es-AR"/>
        </w:rPr>
        <w:t>Ley N° 6</w:t>
      </w:r>
      <w:r w:rsidR="003B5BF4">
        <w:rPr>
          <w:lang w:eastAsia="es-AR"/>
        </w:rPr>
        <w:t>950 – Ciudad Autónoma de Buenos Aires.</w:t>
      </w:r>
      <w:r w:rsidR="002E7082">
        <w:rPr>
          <w:lang w:eastAsia="es-AR"/>
        </w:rPr>
        <w:t xml:space="preserve"> Creación del </w:t>
      </w:r>
      <w:r w:rsidR="002E7082" w:rsidRPr="00882D6E">
        <w:t>Régimen de Incentivo para Medianas Inversiones de la Ciudad Autónoma de Buenos Aires (RIMICABA)</w:t>
      </w:r>
      <w:r w:rsidR="002E7082">
        <w:t>.</w:t>
      </w:r>
    </w:p>
    <w:p w14:paraId="6966DCF2" w14:textId="77777777" w:rsidR="002E7082" w:rsidRDefault="002E7082" w:rsidP="002E7082">
      <w:pPr>
        <w:pStyle w:val="ListParagraph"/>
        <w:rPr>
          <w:lang w:eastAsia="es-AR"/>
        </w:rPr>
      </w:pPr>
    </w:p>
    <w:p w14:paraId="3EA20A03" w14:textId="171C0891" w:rsidR="002E7082" w:rsidRDefault="002E7082" w:rsidP="003B5BF4">
      <w:pPr>
        <w:pStyle w:val="ListParagraph"/>
        <w:numPr>
          <w:ilvl w:val="0"/>
          <w:numId w:val="7"/>
        </w:numPr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  <w:r>
        <w:rPr>
          <w:lang w:eastAsia="es-AR"/>
        </w:rPr>
        <w:t>Decreto N° 1121/2026 – Provincia de Entre Ríos. Transparencia fiscal.</w:t>
      </w:r>
    </w:p>
    <w:p w14:paraId="1C521D1A" w14:textId="77777777" w:rsidR="00946B81" w:rsidRDefault="00946B81" w:rsidP="00946B81">
      <w:pPr>
        <w:pStyle w:val="ListParagraph"/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</w:p>
    <w:p w14:paraId="1E47564D" w14:textId="77777777" w:rsidR="0036701F" w:rsidRDefault="0036701F" w:rsidP="0036701F">
      <w:pPr>
        <w:shd w:val="clear" w:color="auto" w:fill="FFFFFF"/>
        <w:spacing w:line="225" w:lineRule="atLeast"/>
        <w:ind w:left="710"/>
        <w:jc w:val="both"/>
        <w:textAlignment w:val="baseline"/>
        <w:rPr>
          <w:lang w:eastAsia="es-AR"/>
        </w:rPr>
      </w:pPr>
    </w:p>
    <w:p w14:paraId="31BC1754" w14:textId="77777777" w:rsidR="00E60F74" w:rsidRDefault="00E60F74" w:rsidP="0036701F">
      <w:pPr>
        <w:shd w:val="clear" w:color="auto" w:fill="FFFFFF"/>
        <w:spacing w:line="225" w:lineRule="atLeast"/>
        <w:ind w:left="710"/>
        <w:jc w:val="both"/>
        <w:textAlignment w:val="baseline"/>
        <w:rPr>
          <w:lang w:eastAsia="es-AR"/>
        </w:rPr>
      </w:pPr>
    </w:p>
    <w:p w14:paraId="4D5EEB32" w14:textId="77777777" w:rsidR="00E60F74" w:rsidRDefault="00E60F74" w:rsidP="0036701F">
      <w:pPr>
        <w:shd w:val="clear" w:color="auto" w:fill="FFFFFF"/>
        <w:spacing w:line="225" w:lineRule="atLeast"/>
        <w:ind w:left="710"/>
        <w:jc w:val="both"/>
        <w:textAlignment w:val="baseline"/>
        <w:rPr>
          <w:lang w:eastAsia="es-AR"/>
        </w:rPr>
      </w:pPr>
    </w:p>
    <w:sectPr w:rsidR="00E60F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04E9C"/>
    <w:multiLevelType w:val="hybridMultilevel"/>
    <w:tmpl w:val="67EE7AB6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4491B"/>
    <w:multiLevelType w:val="hybridMultilevel"/>
    <w:tmpl w:val="FA58CFAC"/>
    <w:lvl w:ilvl="0" w:tplc="45BCB5C0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Arial Unicode MS" w:eastAsia="Times New Roman" w:hAnsi="Arial Unicode MS" w:cs="Times New Roman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inherit" w:hAnsi="inherit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Arial Unicode MS" w:eastAsia="Times New Roman" w:hAnsi="Arial Unicode MS" w:cs="Times New Roman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inherit" w:hAnsi="inherit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Arial Unicode MS" w:eastAsia="Times New Roman" w:hAnsi="Arial Unicode MS" w:cs="Times New Roman" w:hint="default"/>
      </w:rPr>
    </w:lvl>
  </w:abstractNum>
  <w:abstractNum w:abstractNumId="2" w15:restartNumberingAfterBreak="0">
    <w:nsid w:val="46F032CC"/>
    <w:multiLevelType w:val="hybridMultilevel"/>
    <w:tmpl w:val="67EE7A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402BB"/>
    <w:multiLevelType w:val="hybridMultilevel"/>
    <w:tmpl w:val="23F00D0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4D238C"/>
    <w:multiLevelType w:val="hybridMultilevel"/>
    <w:tmpl w:val="91DC42EE"/>
    <w:lvl w:ilvl="0" w:tplc="0D3AE046">
      <w:start w:val="14"/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8388F"/>
    <w:multiLevelType w:val="hybridMultilevel"/>
    <w:tmpl w:val="964EDE30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713ED"/>
    <w:multiLevelType w:val="hybridMultilevel"/>
    <w:tmpl w:val="4A8A2394"/>
    <w:lvl w:ilvl="0" w:tplc="FC2CEB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731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6717933">
    <w:abstractNumId w:val="4"/>
  </w:num>
  <w:num w:numId="3" w16cid:durableId="1468819145">
    <w:abstractNumId w:val="1"/>
  </w:num>
  <w:num w:numId="4" w16cid:durableId="2110151585">
    <w:abstractNumId w:val="6"/>
  </w:num>
  <w:num w:numId="5" w16cid:durableId="1271551292">
    <w:abstractNumId w:val="0"/>
  </w:num>
  <w:num w:numId="6" w16cid:durableId="1944025277">
    <w:abstractNumId w:val="2"/>
  </w:num>
  <w:num w:numId="7" w16cid:durableId="1572160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95"/>
    <w:rsid w:val="00003D13"/>
    <w:rsid w:val="000122B2"/>
    <w:rsid w:val="00017293"/>
    <w:rsid w:val="000210C4"/>
    <w:rsid w:val="00033D09"/>
    <w:rsid w:val="000362D4"/>
    <w:rsid w:val="00043E2C"/>
    <w:rsid w:val="00043EDC"/>
    <w:rsid w:val="00050262"/>
    <w:rsid w:val="00051D67"/>
    <w:rsid w:val="0006266F"/>
    <w:rsid w:val="00083F17"/>
    <w:rsid w:val="00084D27"/>
    <w:rsid w:val="000A6772"/>
    <w:rsid w:val="000C66DA"/>
    <w:rsid w:val="000F1C3C"/>
    <w:rsid w:val="000F56A8"/>
    <w:rsid w:val="00100D30"/>
    <w:rsid w:val="00102D08"/>
    <w:rsid w:val="0011052B"/>
    <w:rsid w:val="00142C98"/>
    <w:rsid w:val="00164FA3"/>
    <w:rsid w:val="001A1630"/>
    <w:rsid w:val="001A1DBA"/>
    <w:rsid w:val="001A4AB0"/>
    <w:rsid w:val="001B356A"/>
    <w:rsid w:val="001D1049"/>
    <w:rsid w:val="00207429"/>
    <w:rsid w:val="00225000"/>
    <w:rsid w:val="00235971"/>
    <w:rsid w:val="00244E80"/>
    <w:rsid w:val="00245A7E"/>
    <w:rsid w:val="0025019C"/>
    <w:rsid w:val="00253823"/>
    <w:rsid w:val="002548D0"/>
    <w:rsid w:val="00287B6D"/>
    <w:rsid w:val="002948A2"/>
    <w:rsid w:val="002A189D"/>
    <w:rsid w:val="002B06D1"/>
    <w:rsid w:val="002C385B"/>
    <w:rsid w:val="002C5DA1"/>
    <w:rsid w:val="002D1C18"/>
    <w:rsid w:val="002D34D4"/>
    <w:rsid w:val="002E02C8"/>
    <w:rsid w:val="002E7082"/>
    <w:rsid w:val="002E7650"/>
    <w:rsid w:val="00303727"/>
    <w:rsid w:val="0031700C"/>
    <w:rsid w:val="00320A4C"/>
    <w:rsid w:val="003277B1"/>
    <w:rsid w:val="003413E5"/>
    <w:rsid w:val="00354488"/>
    <w:rsid w:val="00354D39"/>
    <w:rsid w:val="0036701F"/>
    <w:rsid w:val="00396A0F"/>
    <w:rsid w:val="003A010D"/>
    <w:rsid w:val="003B261A"/>
    <w:rsid w:val="003B5BF4"/>
    <w:rsid w:val="003E0565"/>
    <w:rsid w:val="003E193E"/>
    <w:rsid w:val="003E65A3"/>
    <w:rsid w:val="003E7360"/>
    <w:rsid w:val="003F064F"/>
    <w:rsid w:val="003F6EF7"/>
    <w:rsid w:val="003F7D3D"/>
    <w:rsid w:val="00401D89"/>
    <w:rsid w:val="004212E3"/>
    <w:rsid w:val="00424EF5"/>
    <w:rsid w:val="00450866"/>
    <w:rsid w:val="00450C6F"/>
    <w:rsid w:val="004522C4"/>
    <w:rsid w:val="00461F0C"/>
    <w:rsid w:val="004720B5"/>
    <w:rsid w:val="004728B1"/>
    <w:rsid w:val="00475388"/>
    <w:rsid w:val="00484D1A"/>
    <w:rsid w:val="004A53FE"/>
    <w:rsid w:val="004A7E52"/>
    <w:rsid w:val="004C4268"/>
    <w:rsid w:val="004E63EB"/>
    <w:rsid w:val="004F129D"/>
    <w:rsid w:val="004F7FC2"/>
    <w:rsid w:val="00512272"/>
    <w:rsid w:val="00525366"/>
    <w:rsid w:val="00531B9F"/>
    <w:rsid w:val="005603DE"/>
    <w:rsid w:val="0056665E"/>
    <w:rsid w:val="00583C92"/>
    <w:rsid w:val="00584119"/>
    <w:rsid w:val="00585F10"/>
    <w:rsid w:val="0058694E"/>
    <w:rsid w:val="0058784D"/>
    <w:rsid w:val="0059659D"/>
    <w:rsid w:val="005A1524"/>
    <w:rsid w:val="005A1F99"/>
    <w:rsid w:val="005B63D8"/>
    <w:rsid w:val="005D7E2B"/>
    <w:rsid w:val="005F065C"/>
    <w:rsid w:val="005F0C47"/>
    <w:rsid w:val="005F3D33"/>
    <w:rsid w:val="005F43F3"/>
    <w:rsid w:val="005F6BCA"/>
    <w:rsid w:val="006015FB"/>
    <w:rsid w:val="00606B9A"/>
    <w:rsid w:val="0061504E"/>
    <w:rsid w:val="00663172"/>
    <w:rsid w:val="006676FE"/>
    <w:rsid w:val="0067418A"/>
    <w:rsid w:val="00674904"/>
    <w:rsid w:val="0068313E"/>
    <w:rsid w:val="006A1C34"/>
    <w:rsid w:val="006C02ED"/>
    <w:rsid w:val="006C20E6"/>
    <w:rsid w:val="006E0FD5"/>
    <w:rsid w:val="006E1EEF"/>
    <w:rsid w:val="00703E6E"/>
    <w:rsid w:val="00706C9E"/>
    <w:rsid w:val="007159C9"/>
    <w:rsid w:val="00715FE2"/>
    <w:rsid w:val="007370A8"/>
    <w:rsid w:val="00743AE9"/>
    <w:rsid w:val="00754AA4"/>
    <w:rsid w:val="00766845"/>
    <w:rsid w:val="0077518F"/>
    <w:rsid w:val="00781868"/>
    <w:rsid w:val="007903A5"/>
    <w:rsid w:val="00791660"/>
    <w:rsid w:val="00792806"/>
    <w:rsid w:val="00792FC3"/>
    <w:rsid w:val="007A3ED5"/>
    <w:rsid w:val="007A66A6"/>
    <w:rsid w:val="007A77D4"/>
    <w:rsid w:val="00805AEE"/>
    <w:rsid w:val="00814845"/>
    <w:rsid w:val="0081485E"/>
    <w:rsid w:val="00821130"/>
    <w:rsid w:val="00830C62"/>
    <w:rsid w:val="008408EA"/>
    <w:rsid w:val="0085592F"/>
    <w:rsid w:val="00855DF6"/>
    <w:rsid w:val="008613A9"/>
    <w:rsid w:val="00866595"/>
    <w:rsid w:val="008677C5"/>
    <w:rsid w:val="008773B6"/>
    <w:rsid w:val="00877AE9"/>
    <w:rsid w:val="00882DDB"/>
    <w:rsid w:val="008A111A"/>
    <w:rsid w:val="008C121F"/>
    <w:rsid w:val="008C32CA"/>
    <w:rsid w:val="008D32D1"/>
    <w:rsid w:val="008D6712"/>
    <w:rsid w:val="008D6943"/>
    <w:rsid w:val="008F7BD8"/>
    <w:rsid w:val="00904010"/>
    <w:rsid w:val="00910300"/>
    <w:rsid w:val="00911E52"/>
    <w:rsid w:val="00921AC1"/>
    <w:rsid w:val="0092358F"/>
    <w:rsid w:val="00926DDC"/>
    <w:rsid w:val="00930B5A"/>
    <w:rsid w:val="00932C07"/>
    <w:rsid w:val="009407D8"/>
    <w:rsid w:val="00946B81"/>
    <w:rsid w:val="00947718"/>
    <w:rsid w:val="00954631"/>
    <w:rsid w:val="009673B0"/>
    <w:rsid w:val="00984895"/>
    <w:rsid w:val="00994A4C"/>
    <w:rsid w:val="009A60CA"/>
    <w:rsid w:val="009A6BC8"/>
    <w:rsid w:val="009B29E9"/>
    <w:rsid w:val="009B5816"/>
    <w:rsid w:val="009D097C"/>
    <w:rsid w:val="009D50D4"/>
    <w:rsid w:val="009E0A1C"/>
    <w:rsid w:val="009E1C7F"/>
    <w:rsid w:val="009E46F9"/>
    <w:rsid w:val="009F6B0B"/>
    <w:rsid w:val="009F70FE"/>
    <w:rsid w:val="00A37F40"/>
    <w:rsid w:val="00A54233"/>
    <w:rsid w:val="00A61BF7"/>
    <w:rsid w:val="00A65263"/>
    <w:rsid w:val="00A65465"/>
    <w:rsid w:val="00A72E5F"/>
    <w:rsid w:val="00A76316"/>
    <w:rsid w:val="00A77456"/>
    <w:rsid w:val="00AB1545"/>
    <w:rsid w:val="00AB1B46"/>
    <w:rsid w:val="00AD26E2"/>
    <w:rsid w:val="00AE2979"/>
    <w:rsid w:val="00B405F5"/>
    <w:rsid w:val="00B42056"/>
    <w:rsid w:val="00B46DF8"/>
    <w:rsid w:val="00B63F55"/>
    <w:rsid w:val="00B654F8"/>
    <w:rsid w:val="00B7004B"/>
    <w:rsid w:val="00B70F70"/>
    <w:rsid w:val="00B73E4B"/>
    <w:rsid w:val="00B74EAE"/>
    <w:rsid w:val="00B80018"/>
    <w:rsid w:val="00B86FA5"/>
    <w:rsid w:val="00B91223"/>
    <w:rsid w:val="00B95FCA"/>
    <w:rsid w:val="00BB2BAD"/>
    <w:rsid w:val="00BB4C0A"/>
    <w:rsid w:val="00BB55F6"/>
    <w:rsid w:val="00BC47B8"/>
    <w:rsid w:val="00BD3DE4"/>
    <w:rsid w:val="00BE0B2E"/>
    <w:rsid w:val="00BF369C"/>
    <w:rsid w:val="00BF3DF4"/>
    <w:rsid w:val="00C05E6B"/>
    <w:rsid w:val="00C1155C"/>
    <w:rsid w:val="00C22FA1"/>
    <w:rsid w:val="00C23A79"/>
    <w:rsid w:val="00C26FF9"/>
    <w:rsid w:val="00C323A7"/>
    <w:rsid w:val="00C323E1"/>
    <w:rsid w:val="00C731E8"/>
    <w:rsid w:val="00C82EF6"/>
    <w:rsid w:val="00C8312B"/>
    <w:rsid w:val="00C92D63"/>
    <w:rsid w:val="00CA32B9"/>
    <w:rsid w:val="00CB2168"/>
    <w:rsid w:val="00CB4DD2"/>
    <w:rsid w:val="00CC2B1B"/>
    <w:rsid w:val="00CD0BA6"/>
    <w:rsid w:val="00CF1783"/>
    <w:rsid w:val="00CF1DC5"/>
    <w:rsid w:val="00CF3116"/>
    <w:rsid w:val="00D03886"/>
    <w:rsid w:val="00D15240"/>
    <w:rsid w:val="00D301DF"/>
    <w:rsid w:val="00D30706"/>
    <w:rsid w:val="00D3338A"/>
    <w:rsid w:val="00D35F84"/>
    <w:rsid w:val="00D3681B"/>
    <w:rsid w:val="00D4760A"/>
    <w:rsid w:val="00D51BBE"/>
    <w:rsid w:val="00D82864"/>
    <w:rsid w:val="00D869D7"/>
    <w:rsid w:val="00DA47A3"/>
    <w:rsid w:val="00DA6203"/>
    <w:rsid w:val="00DA71DC"/>
    <w:rsid w:val="00DB75DD"/>
    <w:rsid w:val="00DC56B2"/>
    <w:rsid w:val="00DE309E"/>
    <w:rsid w:val="00DE3BC1"/>
    <w:rsid w:val="00DF3B07"/>
    <w:rsid w:val="00E05A5A"/>
    <w:rsid w:val="00E0696C"/>
    <w:rsid w:val="00E37DE1"/>
    <w:rsid w:val="00E4765B"/>
    <w:rsid w:val="00E60F74"/>
    <w:rsid w:val="00E70CCC"/>
    <w:rsid w:val="00E94E0D"/>
    <w:rsid w:val="00E97183"/>
    <w:rsid w:val="00EB06DC"/>
    <w:rsid w:val="00EC3215"/>
    <w:rsid w:val="00ED3D71"/>
    <w:rsid w:val="00ED70A8"/>
    <w:rsid w:val="00ED7171"/>
    <w:rsid w:val="00EE1B40"/>
    <w:rsid w:val="00EE4332"/>
    <w:rsid w:val="00EE7DCB"/>
    <w:rsid w:val="00EF17DB"/>
    <w:rsid w:val="00EF2851"/>
    <w:rsid w:val="00F0634A"/>
    <w:rsid w:val="00F11F64"/>
    <w:rsid w:val="00F430A5"/>
    <w:rsid w:val="00F466E9"/>
    <w:rsid w:val="00F52030"/>
    <w:rsid w:val="00F52BA9"/>
    <w:rsid w:val="00F573A2"/>
    <w:rsid w:val="00F67916"/>
    <w:rsid w:val="00F70C85"/>
    <w:rsid w:val="00F768A8"/>
    <w:rsid w:val="00F76F7D"/>
    <w:rsid w:val="00FA0215"/>
    <w:rsid w:val="00FA0703"/>
    <w:rsid w:val="00FA3312"/>
    <w:rsid w:val="00FB22D6"/>
    <w:rsid w:val="00FB2889"/>
    <w:rsid w:val="00FB4DF2"/>
    <w:rsid w:val="00FB4F7B"/>
    <w:rsid w:val="00FC0251"/>
    <w:rsid w:val="00FC0EA6"/>
    <w:rsid w:val="00FC4B11"/>
    <w:rsid w:val="00FF40BA"/>
    <w:rsid w:val="00FF5258"/>
    <w:rsid w:val="00FF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220A3"/>
  <w15:chartTrackingRefBased/>
  <w15:docId w15:val="{2B813B94-8362-4784-B478-524C528F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A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5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_tradnl" w:eastAsia="es-E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65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65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65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65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5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65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65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65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65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65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65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65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65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5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65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65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65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65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65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65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65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65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65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65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65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65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65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65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6595"/>
    <w:rPr>
      <w:b/>
      <w:bCs/>
      <w:smallCaps/>
      <w:color w:val="0F4761" w:themeColor="accent1" w:themeShade="BF"/>
      <w:spacing w:val="5"/>
    </w:rPr>
  </w:style>
  <w:style w:type="paragraph" w:customStyle="1" w:styleId="ecmsonormal">
    <w:name w:val="ec_msonormal"/>
    <w:basedOn w:val="Normal"/>
    <w:uiPriority w:val="99"/>
    <w:rsid w:val="00866595"/>
    <w:pPr>
      <w:spacing w:after="324"/>
    </w:pPr>
    <w:rPr>
      <w:rFonts w:ascii="Arial Unicode MS" w:eastAsia="Arial Unicode MS" w:hAnsi="Arial Unicode MS" w:cs="Arial Unicode MS"/>
      <w:lang w:val="es-ES"/>
    </w:rPr>
  </w:style>
  <w:style w:type="paragraph" w:styleId="Revision">
    <w:name w:val="Revision"/>
    <w:hidden/>
    <w:uiPriority w:val="99"/>
    <w:semiHidden/>
    <w:rsid w:val="00E05A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3DBF7F1461BF4689433724BBB84FED" ma:contentTypeVersion="14" ma:contentTypeDescription="Crear nuevo documento." ma:contentTypeScope="" ma:versionID="289e281913b9e38b479c953d0e3496b6">
  <xsd:schema xmlns:xsd="http://www.w3.org/2001/XMLSchema" xmlns:xs="http://www.w3.org/2001/XMLSchema" xmlns:p="http://schemas.microsoft.com/office/2006/metadata/properties" xmlns:ns3="173dc0fa-cc77-432b-97ae-a59eae0364d1" targetNamespace="http://schemas.microsoft.com/office/2006/metadata/properties" ma:root="true" ma:fieldsID="0078e3e002ad2d4bae9a9679733a3902" ns3:_="">
    <xsd:import namespace="173dc0fa-cc77-432b-97ae-a59eae0364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dc0fa-cc77-432b-97ae-a59eae036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73dc0fa-cc77-432b-97ae-a59eae0364d1" xsi:nil="true"/>
  </documentManagement>
</p:properties>
</file>

<file path=customXml/itemProps1.xml><?xml version="1.0" encoding="utf-8"?>
<ds:datastoreItem xmlns:ds="http://schemas.openxmlformats.org/officeDocument/2006/customXml" ds:itemID="{7DCDB867-4EBA-42DE-81E1-2D9635DB0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3dc0fa-cc77-432b-97ae-a59eae0364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0C3DB6-2EAF-4D7A-B7B8-238CF24913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AF70F-4172-41BA-BF5A-D7E16B0B8174}">
  <ds:schemaRefs>
    <ds:schemaRef ds:uri="http://schemas.microsoft.com/office/2006/metadata/properties"/>
    <ds:schemaRef ds:uri="http://schemas.microsoft.com/office/infopath/2007/PartnerControls"/>
    <ds:schemaRef ds:uri="173dc0fa-cc77-432b-97ae-a59eae0364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1225</Words>
  <Characters>6498</Characters>
  <Application>Microsoft Office Word</Application>
  <DocSecurity>0</DocSecurity>
  <Lines>175</Lines>
  <Paragraphs>88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Borrego</dc:creator>
  <cp:keywords/>
  <dc:description/>
  <cp:lastModifiedBy>Gustavo Grinberg</cp:lastModifiedBy>
  <cp:revision>2</cp:revision>
  <dcterms:created xsi:type="dcterms:W3CDTF">2026-06-12T16:50:00Z</dcterms:created>
  <dcterms:modified xsi:type="dcterms:W3CDTF">2026-06-12T16:50:00Z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0x010100093DBF7F1461BF4689433724BBB84FED</vt:lpwstr>
  </property>
</Properties>
</file>